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E6" w:rsidRDefault="008B631D" w:rsidP="008B631D">
      <w:pPr>
        <w:jc w:val="center"/>
        <w:rPr>
          <w:b/>
        </w:rPr>
      </w:pPr>
      <w:r>
        <w:rPr>
          <w:b/>
        </w:rPr>
        <w:t>АО «ТЭК» разъясняет причины роста</w:t>
      </w:r>
      <w:r w:rsidR="001F7FE6">
        <w:rPr>
          <w:b/>
        </w:rPr>
        <w:t xml:space="preserve"> цен</w:t>
      </w:r>
      <w:r w:rsidR="003C46A2">
        <w:rPr>
          <w:b/>
        </w:rPr>
        <w:t xml:space="preserve"> на электроэнергию </w:t>
      </w:r>
      <w:r>
        <w:rPr>
          <w:b/>
        </w:rPr>
        <w:t>для юридических лиц</w:t>
      </w:r>
    </w:p>
    <w:p w:rsidR="00F656EA" w:rsidRDefault="00F656EA" w:rsidP="008B631D">
      <w:pPr>
        <w:jc w:val="both"/>
        <w:rPr>
          <w:color w:val="000000" w:themeColor="text1"/>
        </w:rPr>
      </w:pPr>
    </w:p>
    <w:p w:rsidR="00926159" w:rsidRP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/>
          <w:lang w:eastAsia="en-US"/>
        </w:rPr>
      </w:pPr>
      <w:r w:rsidRPr="00926159">
        <w:rPr>
          <w:rFonts w:eastAsiaTheme="minorHAnsi"/>
          <w:b/>
          <w:bCs/>
          <w:i/>
          <w:lang w:eastAsia="en-US"/>
        </w:rPr>
        <w:t>В феврал</w:t>
      </w:r>
      <w:r w:rsidR="003C46A2">
        <w:rPr>
          <w:rFonts w:eastAsiaTheme="minorHAnsi"/>
          <w:b/>
          <w:bCs/>
          <w:i/>
          <w:lang w:eastAsia="en-US"/>
        </w:rPr>
        <w:t>-марте</w:t>
      </w:r>
      <w:bookmarkStart w:id="0" w:name="_GoBack"/>
      <w:bookmarkEnd w:id="0"/>
      <w:r w:rsidRPr="00926159">
        <w:rPr>
          <w:rFonts w:eastAsiaTheme="minorHAnsi"/>
          <w:b/>
          <w:bCs/>
          <w:i/>
          <w:lang w:eastAsia="en-US"/>
        </w:rPr>
        <w:t xml:space="preserve"> текущего года во всех регионах России, в том числе в Тюменской области, резко возросла стоимость электроэнергии для юридических лиц. В начале марта АО «Тюменская энергосбытовая компания» уже уведомляло своих потребителей о повышении цен, но считает важным подробнее разъяснить его причины.</w:t>
      </w:r>
    </w:p>
    <w:p w:rsidR="00926159" w:rsidRP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i/>
          <w:lang w:eastAsia="en-US"/>
        </w:rPr>
      </w:pPr>
    </w:p>
    <w:p w:rsidR="00926159" w:rsidRP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926159">
        <w:rPr>
          <w:rFonts w:eastAsiaTheme="minorHAnsi"/>
          <w:lang w:eastAsia="en-US"/>
        </w:rPr>
        <w:t xml:space="preserve">Рост цен на оптовом рынке электрической энергии (мощности) продиктован исключительно возросшей нагрузкой по оплате мощности объектов генерации, работающих на оптовом рынке электроэнергии (ОРЭ). Это связано с вводом в промышленную эксплуатацию энергоблока №4 Белоярской атомной станции мощностью 800 МВт и энергоблока №1 </w:t>
      </w:r>
      <w:proofErr w:type="spellStart"/>
      <w:r w:rsidRPr="00926159">
        <w:rPr>
          <w:rFonts w:eastAsiaTheme="minorHAnsi"/>
          <w:lang w:eastAsia="en-US"/>
        </w:rPr>
        <w:t>Нововоронежской</w:t>
      </w:r>
      <w:proofErr w:type="spellEnd"/>
      <w:r w:rsidRPr="00926159">
        <w:rPr>
          <w:rFonts w:eastAsiaTheme="minorHAnsi"/>
          <w:lang w:eastAsia="en-US"/>
        </w:rPr>
        <w:t xml:space="preserve"> АЭС-2 мощностью 1 200 МВт и началом оплаты потребителями поставляемой ими мощности на ОРЭ. Договоры о предоставлении мощности в отношении этих генерирующих объектов заключены в соответствии с правилами оптового рынка электроэнергии в 2010 году с плановым сроком ввода в эксплуатацию с 01.01.2017 г. и подразумевают возврат инвестиций в строительство электростанций в течение двадцати лет.</w:t>
      </w:r>
    </w:p>
    <w:p w:rsid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926159" w:rsidRP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926159">
        <w:rPr>
          <w:rFonts w:eastAsiaTheme="minorHAnsi"/>
          <w:lang w:eastAsia="en-US"/>
        </w:rPr>
        <w:t>В соответствии с регламентами оптового рынка цена мощности, транслируемая гарантирующими поставщиками электроэнергии с оптового на розничный рынок, формируется, исходя из цены предыдущего расчетного периода. Таким образом, рост цен на оптовом рынке электроэнергии с января 2017 г отразился в ценах розничного рынка в феврале 2017 г.</w:t>
      </w:r>
    </w:p>
    <w:p w:rsid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926159" w:rsidRP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926159">
        <w:rPr>
          <w:rFonts w:eastAsiaTheme="minorHAnsi"/>
          <w:lang w:eastAsia="en-US"/>
        </w:rPr>
        <w:t xml:space="preserve">Повышение цен на ОРЭ неизбежно приводит к росту конечных цен для потребителей электрической энергии (мощности) на розничном рынке. </w:t>
      </w:r>
      <w:proofErr w:type="gramStart"/>
      <w:r w:rsidRPr="00926159">
        <w:rPr>
          <w:rFonts w:eastAsiaTheme="minorHAnsi"/>
          <w:lang w:eastAsia="en-US"/>
        </w:rPr>
        <w:t>К сожалению, АО «Тюменская энергосбытовая компания» не может повлиять на этот процесс, так как в строгом соответствии с действующим законодательством («Правила определения и применения гарантирующими поставщиками нерегулируемых цен на электрическую энергию (мощность)», утвержденные постановлением Правительства РФ № 1179 от 29.12.2011 г) транслирует цены оптового рынка путем определения предельных уровней нерегулируемых цен для потребителей розничного рынка.</w:t>
      </w:r>
      <w:proofErr w:type="gramEnd"/>
    </w:p>
    <w:p w:rsid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926159" w:rsidRP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proofErr w:type="gramStart"/>
      <w:r w:rsidRPr="00926159">
        <w:rPr>
          <w:rFonts w:eastAsiaTheme="minorHAnsi"/>
          <w:lang w:eastAsia="en-US"/>
        </w:rPr>
        <w:t>Предельный уровень нерегулируемых цен (тарифов) определяется на основании ежемесячно публикуемой АО «АТС» информации о стоимости электрической энергии и мощности, сложившейся на ОРЭ за истекший месяц, с учетом регулируемых государством тарифов на услуги по передаче электрической энергии, инфраструктурных услуг (АО «АТС», АО «ЦФР», АО «СО ЕЭС»), а также сбытовой надбавки гарантирующего поставщика АО «ТЭК».</w:t>
      </w:r>
      <w:proofErr w:type="gramEnd"/>
    </w:p>
    <w:p w:rsid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926159" w:rsidRPr="00926159" w:rsidRDefault="00926159" w:rsidP="0092615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926159">
        <w:rPr>
          <w:rFonts w:eastAsiaTheme="minorHAnsi"/>
          <w:lang w:eastAsia="en-US"/>
        </w:rPr>
        <w:t>Любое заинтересованное лицо может просмотреть, скачать, а также проверить расчет предельных уровней нерегулируемых цен (тарифов) по следующим ссылкам:</w:t>
      </w:r>
    </w:p>
    <w:p w:rsidR="00624383" w:rsidRDefault="00624383" w:rsidP="0097276A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</w:p>
    <w:p w:rsidR="001F7FE6" w:rsidRPr="008B631D" w:rsidRDefault="00624383" w:rsidP="0097276A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8B631D">
        <w:rPr>
          <w:rFonts w:eastAsiaTheme="minorHAnsi"/>
          <w:lang w:eastAsia="en-US"/>
        </w:rPr>
        <w:t xml:space="preserve">- </w:t>
      </w:r>
      <w:hyperlink r:id="rId5" w:history="1">
        <w:r w:rsidRPr="008B631D">
          <w:rPr>
            <w:rStyle w:val="af4"/>
            <w:rFonts w:ascii="Times New Roman" w:eastAsiaTheme="minorHAnsi" w:hAnsi="Times New Roman" w:cs="Times New Roman"/>
            <w:sz w:val="24"/>
            <w:szCs w:val="24"/>
            <w:lang w:eastAsia="en-US"/>
          </w:rPr>
          <w:t>http://tmesk.ru/predel</w:t>
        </w:r>
      </w:hyperlink>
      <w:r w:rsidRPr="008B631D">
        <w:rPr>
          <w:rFonts w:eastAsiaTheme="minorHAnsi"/>
          <w:lang w:eastAsia="en-US"/>
        </w:rPr>
        <w:t xml:space="preserve"> - предельные уровни свободных (нерегулируемых) цен по группам потребителей</w:t>
      </w:r>
      <w:r w:rsidR="001F7FE6" w:rsidRPr="008B631D">
        <w:rPr>
          <w:rFonts w:eastAsiaTheme="minorHAnsi"/>
          <w:lang w:eastAsia="en-US"/>
        </w:rPr>
        <w:t>;</w:t>
      </w:r>
    </w:p>
    <w:p w:rsidR="001F7FE6" w:rsidRPr="008B631D" w:rsidRDefault="00624383" w:rsidP="0097276A">
      <w:pPr>
        <w:autoSpaceDE w:val="0"/>
        <w:autoSpaceDN w:val="0"/>
        <w:adjustRightInd w:val="0"/>
        <w:ind w:firstLine="426"/>
        <w:jc w:val="both"/>
      </w:pPr>
      <w:r w:rsidRPr="008B631D">
        <w:t xml:space="preserve">- </w:t>
      </w:r>
      <w:hyperlink r:id="rId6" w:history="1">
        <w:r w:rsidRPr="008B631D">
          <w:rPr>
            <w:rStyle w:val="af4"/>
            <w:rFonts w:ascii="Times New Roman" w:hAnsi="Times New Roman" w:cs="Times New Roman"/>
            <w:sz w:val="24"/>
            <w:szCs w:val="24"/>
          </w:rPr>
          <w:t>http://www.atsenergo.ru/results/market/svnc</w:t>
        </w:r>
      </w:hyperlink>
      <w:r w:rsidRPr="008B631D">
        <w:t xml:space="preserve"> - с</w:t>
      </w:r>
      <w:r w:rsidR="001F7FE6" w:rsidRPr="008B631D">
        <w:rPr>
          <w:rFonts w:eastAsiaTheme="minorHAnsi"/>
          <w:lang w:eastAsia="en-US"/>
        </w:rPr>
        <w:t>оставляющие предельных уровней нерегулируемых цен,  опубликованные Коммерческим оператором ОРЭ</w:t>
      </w:r>
      <w:r w:rsidR="001F7FE6" w:rsidRPr="008B631D">
        <w:t>;</w:t>
      </w:r>
    </w:p>
    <w:p w:rsidR="001F7FE6" w:rsidRPr="008B631D" w:rsidRDefault="00624383" w:rsidP="0097276A">
      <w:pPr>
        <w:autoSpaceDE w:val="0"/>
        <w:autoSpaceDN w:val="0"/>
        <w:adjustRightInd w:val="0"/>
        <w:ind w:firstLine="426"/>
        <w:jc w:val="both"/>
      </w:pPr>
      <w:r w:rsidRPr="008B631D">
        <w:t xml:space="preserve">- </w:t>
      </w:r>
      <w:hyperlink r:id="rId7" w:history="1">
        <w:r w:rsidRPr="008B631D">
          <w:rPr>
            <w:rStyle w:val="af4"/>
            <w:rFonts w:ascii="Times New Roman" w:hAnsi="Times New Roman" w:cs="Times New Roman"/>
            <w:sz w:val="24"/>
            <w:szCs w:val="24"/>
          </w:rPr>
          <w:t>http://tmesk.ru/middlepric</w:t>
        </w:r>
      </w:hyperlink>
      <w:r w:rsidRPr="008B631D">
        <w:t xml:space="preserve"> - р</w:t>
      </w:r>
      <w:r w:rsidR="001F7FE6" w:rsidRPr="008B631D">
        <w:t>асчёт средневзвешенной нерегулируемой цены на электроэнергию для потребителей первой ценовой категории;</w:t>
      </w:r>
    </w:p>
    <w:p w:rsidR="001F7FE6" w:rsidRPr="008B631D" w:rsidRDefault="00624383" w:rsidP="0097276A">
      <w:pPr>
        <w:autoSpaceDE w:val="0"/>
        <w:autoSpaceDN w:val="0"/>
        <w:adjustRightInd w:val="0"/>
        <w:ind w:firstLine="426"/>
        <w:jc w:val="both"/>
        <w:rPr>
          <w:color w:val="4D515F"/>
        </w:rPr>
      </w:pPr>
      <w:r w:rsidRPr="008B631D">
        <w:t xml:space="preserve">- </w:t>
      </w:r>
      <w:hyperlink r:id="rId8" w:history="1">
        <w:r w:rsidRPr="008B631D">
          <w:rPr>
            <w:rStyle w:val="af4"/>
            <w:rFonts w:ascii="Times New Roman" w:hAnsi="Times New Roman" w:cs="Times New Roman"/>
            <w:sz w:val="24"/>
            <w:szCs w:val="24"/>
          </w:rPr>
          <w:t>http://tmesk.ru/userfiles/file/raskryitie/REK%2095_28122016.pdf</w:t>
        </w:r>
      </w:hyperlink>
      <w:r w:rsidRPr="008B631D">
        <w:t xml:space="preserve"> - е</w:t>
      </w:r>
      <w:r w:rsidR="001F7FE6" w:rsidRPr="008B631D">
        <w:t>диные (котловые) тарифы на услуги по передаче электрической энергии</w:t>
      </w:r>
      <w:r w:rsidR="001F7FE6" w:rsidRPr="008B631D">
        <w:rPr>
          <w:color w:val="4D515F"/>
        </w:rPr>
        <w:t>;</w:t>
      </w:r>
    </w:p>
    <w:p w:rsidR="001F7FE6" w:rsidRPr="008B631D" w:rsidRDefault="00624383" w:rsidP="0097276A">
      <w:pPr>
        <w:autoSpaceDE w:val="0"/>
        <w:autoSpaceDN w:val="0"/>
        <w:adjustRightInd w:val="0"/>
        <w:ind w:firstLine="426"/>
        <w:jc w:val="both"/>
        <w:rPr>
          <w:color w:val="4D515F"/>
        </w:rPr>
      </w:pPr>
      <w:r w:rsidRPr="008B631D">
        <w:lastRenderedPageBreak/>
        <w:t xml:space="preserve">- </w:t>
      </w:r>
      <w:hyperlink r:id="rId9" w:history="1">
        <w:r w:rsidRPr="008B631D">
          <w:rPr>
            <w:rStyle w:val="af4"/>
            <w:rFonts w:ascii="Times New Roman" w:hAnsi="Times New Roman" w:cs="Times New Roman"/>
            <w:sz w:val="24"/>
            <w:szCs w:val="24"/>
          </w:rPr>
          <w:t>http://tmesk.ru/userfiles/file/raskryitie/REK%2046%2022122016.pdf</w:t>
        </w:r>
      </w:hyperlink>
      <w:r w:rsidRPr="008B631D">
        <w:t xml:space="preserve"> - с</w:t>
      </w:r>
      <w:r w:rsidR="001F7FE6" w:rsidRPr="008B631D">
        <w:t xml:space="preserve">бытовые надбавки гарантирующих поставщиков </w:t>
      </w:r>
      <w:r w:rsidRPr="008B631D">
        <w:t>(</w:t>
      </w:r>
      <w:r w:rsidR="001F7FE6" w:rsidRPr="008B631D">
        <w:t>в том числе АО «ТЭК»</w:t>
      </w:r>
      <w:r w:rsidRPr="008B631D">
        <w:t>),</w:t>
      </w:r>
      <w:r w:rsidR="001F7FE6" w:rsidRPr="008B631D">
        <w:t xml:space="preserve"> поставляющих электрическую энергию (мощность) на розничном рынке</w:t>
      </w:r>
      <w:r w:rsidR="001F7FE6" w:rsidRPr="008B631D">
        <w:rPr>
          <w:color w:val="4D515F"/>
        </w:rPr>
        <w:t>;</w:t>
      </w:r>
    </w:p>
    <w:p w:rsidR="001F7FE6" w:rsidRPr="008B631D" w:rsidRDefault="00624383" w:rsidP="0097276A">
      <w:pPr>
        <w:autoSpaceDE w:val="0"/>
        <w:autoSpaceDN w:val="0"/>
        <w:adjustRightInd w:val="0"/>
        <w:ind w:firstLine="426"/>
        <w:jc w:val="both"/>
      </w:pPr>
      <w:r w:rsidRPr="008B631D">
        <w:t xml:space="preserve"> - </w:t>
      </w:r>
      <w:hyperlink r:id="rId10" w:history="1">
        <w:r w:rsidR="00C424C4" w:rsidRPr="008B631D">
          <w:rPr>
            <w:rStyle w:val="af4"/>
            <w:rFonts w:ascii="Times New Roman" w:eastAsiaTheme="minorHAnsi" w:hAnsi="Times New Roman" w:cs="Times New Roman"/>
            <w:sz w:val="24"/>
            <w:szCs w:val="24"/>
            <w:lang w:eastAsia="en-US"/>
          </w:rPr>
          <w:t>http://tmesk.ru/predel</w:t>
        </w:r>
      </w:hyperlink>
      <w:r w:rsidR="00C424C4" w:rsidRPr="008B631D">
        <w:rPr>
          <w:rFonts w:eastAsiaTheme="minorHAnsi"/>
          <w:lang w:eastAsia="en-US"/>
        </w:rPr>
        <w:t xml:space="preserve"> </w:t>
      </w:r>
      <w:r w:rsidR="00C424C4" w:rsidRPr="008B631D">
        <w:t xml:space="preserve">(последняя страница </w:t>
      </w:r>
      <w:r w:rsidR="00C424C4" w:rsidRPr="008B631D">
        <w:rPr>
          <w:lang w:val="en-US"/>
        </w:rPr>
        <w:t>PDF</w:t>
      </w:r>
      <w:r w:rsidR="00C424C4" w:rsidRPr="008B631D">
        <w:t>-документа) - р</w:t>
      </w:r>
      <w:r w:rsidR="001F7FE6" w:rsidRPr="008B631D">
        <w:t>асчет платы за иные услуги, оказание которых является неотъемлемой частью процесса поставки электрической энергии потребителям АО «ТЭК»</w:t>
      </w:r>
      <w:r w:rsidR="00C424C4" w:rsidRPr="008B631D">
        <w:t xml:space="preserve">. </w:t>
      </w:r>
    </w:p>
    <w:p w:rsidR="00C424C4" w:rsidRPr="008B631D" w:rsidRDefault="00C424C4" w:rsidP="0097276A">
      <w:pPr>
        <w:autoSpaceDE w:val="0"/>
        <w:autoSpaceDN w:val="0"/>
        <w:adjustRightInd w:val="0"/>
        <w:ind w:firstLine="426"/>
        <w:jc w:val="both"/>
      </w:pPr>
    </w:p>
    <w:p w:rsidR="001F7FE6" w:rsidRPr="008B631D" w:rsidRDefault="00C424C4" w:rsidP="0092615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8B631D">
        <w:t xml:space="preserve">Также </w:t>
      </w:r>
      <w:r w:rsidR="001F7FE6" w:rsidRPr="008B631D">
        <w:t xml:space="preserve">на официальном сайте АО «ТЭК» действует </w:t>
      </w:r>
      <w:r w:rsidRPr="008B631D">
        <w:t>«Л</w:t>
      </w:r>
      <w:r w:rsidR="001F7FE6" w:rsidRPr="008B631D">
        <w:t>ичный кабинет клиента</w:t>
      </w:r>
      <w:r w:rsidRPr="008B631D">
        <w:t xml:space="preserve">» для юридических лиц </w:t>
      </w:r>
      <w:r w:rsidR="001F7FE6" w:rsidRPr="008B631D">
        <w:t>(</w:t>
      </w:r>
      <w:hyperlink r:id="rId11" w:history="1">
        <w:r w:rsidR="001F7FE6" w:rsidRPr="008B631D">
          <w:rPr>
            <w:rStyle w:val="af4"/>
            <w:rFonts w:ascii="Times New Roman" w:eastAsiaTheme="minorHAnsi" w:hAnsi="Times New Roman" w:cs="Times New Roman"/>
            <w:sz w:val="24"/>
            <w:szCs w:val="24"/>
            <w:lang w:eastAsia="en-US"/>
          </w:rPr>
          <w:t>http://lkk.energosales.ru/lkk_jur/</w:t>
        </w:r>
      </w:hyperlink>
      <w:r w:rsidR="001F7FE6" w:rsidRPr="008B631D">
        <w:rPr>
          <w:rFonts w:eastAsiaTheme="minorHAnsi"/>
          <w:color w:val="000000"/>
          <w:lang w:eastAsia="en-US"/>
        </w:rPr>
        <w:t xml:space="preserve">), </w:t>
      </w:r>
      <w:r w:rsidRPr="008B631D">
        <w:rPr>
          <w:rFonts w:eastAsiaTheme="minorHAnsi"/>
          <w:color w:val="000000"/>
          <w:lang w:eastAsia="en-US"/>
        </w:rPr>
        <w:t xml:space="preserve">в </w:t>
      </w:r>
      <w:r w:rsidR="001F7FE6" w:rsidRPr="008B631D">
        <w:rPr>
          <w:rFonts w:eastAsiaTheme="minorHAnsi"/>
          <w:color w:val="000000"/>
          <w:lang w:eastAsia="en-US"/>
        </w:rPr>
        <w:t>которо</w:t>
      </w:r>
      <w:r w:rsidRPr="008B631D">
        <w:rPr>
          <w:rFonts w:eastAsiaTheme="minorHAnsi"/>
          <w:color w:val="000000"/>
          <w:lang w:eastAsia="en-US"/>
        </w:rPr>
        <w:t>м</w:t>
      </w:r>
      <w:r w:rsidR="001F7FE6" w:rsidRPr="008B631D">
        <w:rPr>
          <w:rFonts w:eastAsiaTheme="minorHAnsi"/>
          <w:color w:val="000000"/>
          <w:lang w:eastAsia="en-US"/>
        </w:rPr>
        <w:t xml:space="preserve"> потребители могут проверить предельные уровни нерегулируемых цен (в разделе </w:t>
      </w:r>
      <w:r w:rsidRPr="008B631D">
        <w:rPr>
          <w:rFonts w:eastAsiaTheme="minorHAnsi"/>
          <w:color w:val="000000"/>
          <w:lang w:eastAsia="en-US"/>
        </w:rPr>
        <w:t>«</w:t>
      </w:r>
      <w:r w:rsidR="001F7FE6" w:rsidRPr="008B631D">
        <w:rPr>
          <w:rFonts w:eastAsiaTheme="minorHAnsi"/>
          <w:color w:val="000000"/>
          <w:lang w:eastAsia="en-US"/>
        </w:rPr>
        <w:t>Документы к расчету</w:t>
      </w:r>
      <w:r w:rsidRPr="008B631D">
        <w:rPr>
          <w:rFonts w:eastAsiaTheme="minorHAnsi"/>
          <w:color w:val="000000"/>
          <w:lang w:eastAsia="en-US"/>
        </w:rPr>
        <w:t>»</w:t>
      </w:r>
      <w:r w:rsidR="001F7FE6" w:rsidRPr="008B631D">
        <w:rPr>
          <w:rFonts w:eastAsiaTheme="minorHAnsi"/>
          <w:color w:val="000000"/>
          <w:lang w:eastAsia="en-US"/>
        </w:rPr>
        <w:t>/</w:t>
      </w:r>
      <w:r w:rsidRPr="008B631D">
        <w:rPr>
          <w:rFonts w:eastAsiaTheme="minorHAnsi"/>
          <w:color w:val="000000"/>
          <w:lang w:eastAsia="en-US"/>
        </w:rPr>
        <w:t>«</w:t>
      </w:r>
      <w:r w:rsidR="001F7FE6" w:rsidRPr="008B631D">
        <w:rPr>
          <w:rFonts w:eastAsiaTheme="minorHAnsi"/>
          <w:color w:val="000000"/>
          <w:lang w:eastAsia="en-US"/>
        </w:rPr>
        <w:t>Фактические цены</w:t>
      </w:r>
      <w:r w:rsidRPr="008B631D">
        <w:rPr>
          <w:rFonts w:eastAsiaTheme="minorHAnsi"/>
          <w:color w:val="000000"/>
          <w:lang w:eastAsia="en-US"/>
        </w:rPr>
        <w:t>»</w:t>
      </w:r>
      <w:r w:rsidR="001F7FE6" w:rsidRPr="008B631D">
        <w:rPr>
          <w:rFonts w:eastAsiaTheme="minorHAnsi"/>
          <w:color w:val="000000"/>
          <w:lang w:eastAsia="en-US"/>
        </w:rPr>
        <w:t>) либо расчет стоимости электр</w:t>
      </w:r>
      <w:r w:rsidRPr="008B631D">
        <w:rPr>
          <w:rFonts w:eastAsiaTheme="minorHAnsi"/>
          <w:color w:val="000000"/>
          <w:lang w:eastAsia="en-US"/>
        </w:rPr>
        <w:t>о</w:t>
      </w:r>
      <w:r w:rsidR="001F7FE6" w:rsidRPr="008B631D">
        <w:rPr>
          <w:rFonts w:eastAsiaTheme="minorHAnsi"/>
          <w:color w:val="000000"/>
          <w:lang w:eastAsia="en-US"/>
        </w:rPr>
        <w:t>энергии (мощности)</w:t>
      </w:r>
      <w:r w:rsidRPr="008B631D">
        <w:rPr>
          <w:rFonts w:eastAsiaTheme="minorHAnsi"/>
          <w:color w:val="000000"/>
          <w:lang w:eastAsia="en-US"/>
        </w:rPr>
        <w:t>,</w:t>
      </w:r>
      <w:r w:rsidR="001F7FE6" w:rsidRPr="008B631D">
        <w:rPr>
          <w:rFonts w:eastAsiaTheme="minorHAnsi"/>
          <w:color w:val="000000"/>
          <w:lang w:eastAsia="en-US"/>
        </w:rPr>
        <w:t xml:space="preserve"> отраженной в платежных документах</w:t>
      </w:r>
      <w:r w:rsidRPr="008B631D">
        <w:rPr>
          <w:rFonts w:eastAsiaTheme="minorHAnsi"/>
          <w:color w:val="000000"/>
          <w:lang w:eastAsia="en-US"/>
        </w:rPr>
        <w:t>,</w:t>
      </w:r>
      <w:r w:rsidR="001F7FE6" w:rsidRPr="008B631D">
        <w:rPr>
          <w:rFonts w:eastAsiaTheme="minorHAnsi"/>
          <w:color w:val="000000"/>
          <w:lang w:eastAsia="en-US"/>
        </w:rPr>
        <w:t xml:space="preserve"> в зависимости от ценовой категории потребителя (в разделе </w:t>
      </w:r>
      <w:r w:rsidRPr="008B631D">
        <w:rPr>
          <w:rFonts w:eastAsiaTheme="minorHAnsi"/>
          <w:color w:val="000000"/>
          <w:lang w:eastAsia="en-US"/>
        </w:rPr>
        <w:t>«</w:t>
      </w:r>
      <w:r w:rsidR="001F7FE6" w:rsidRPr="008B631D">
        <w:rPr>
          <w:rFonts w:eastAsiaTheme="minorHAnsi"/>
          <w:color w:val="000000"/>
          <w:lang w:eastAsia="en-US"/>
        </w:rPr>
        <w:t>Документы к расчету</w:t>
      </w:r>
      <w:r w:rsidRPr="008B631D">
        <w:rPr>
          <w:rFonts w:eastAsiaTheme="minorHAnsi"/>
          <w:color w:val="000000"/>
          <w:lang w:eastAsia="en-US"/>
        </w:rPr>
        <w:t>»</w:t>
      </w:r>
      <w:r w:rsidR="001F7FE6" w:rsidRPr="008B631D">
        <w:rPr>
          <w:rFonts w:eastAsiaTheme="minorHAnsi"/>
          <w:color w:val="000000"/>
          <w:lang w:eastAsia="en-US"/>
        </w:rPr>
        <w:t>/</w:t>
      </w:r>
      <w:r w:rsidRPr="008B631D">
        <w:rPr>
          <w:rFonts w:eastAsiaTheme="minorHAnsi"/>
          <w:color w:val="000000"/>
          <w:lang w:eastAsia="en-US"/>
        </w:rPr>
        <w:t>«</w:t>
      </w:r>
      <w:r w:rsidR="001F7FE6" w:rsidRPr="008B631D">
        <w:rPr>
          <w:rFonts w:eastAsiaTheme="minorHAnsi"/>
          <w:color w:val="000000"/>
          <w:lang w:eastAsia="en-US"/>
        </w:rPr>
        <w:t>Расчет стоимости</w:t>
      </w:r>
      <w:r w:rsidRPr="008B631D">
        <w:rPr>
          <w:rFonts w:eastAsiaTheme="minorHAnsi"/>
          <w:color w:val="000000"/>
          <w:lang w:eastAsia="en-US"/>
        </w:rPr>
        <w:t>»</w:t>
      </w:r>
      <w:r w:rsidR="001F7FE6" w:rsidRPr="008B631D">
        <w:rPr>
          <w:rFonts w:eastAsiaTheme="minorHAnsi"/>
          <w:color w:val="000000"/>
          <w:lang w:eastAsia="en-US"/>
        </w:rPr>
        <w:t xml:space="preserve">).  </w:t>
      </w:r>
      <w:proofErr w:type="gramEnd"/>
    </w:p>
    <w:p w:rsidR="00926159" w:rsidRDefault="00926159" w:rsidP="009261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F7FE6" w:rsidRPr="004C765A" w:rsidRDefault="004C765A" w:rsidP="00926159">
      <w:pPr>
        <w:autoSpaceDE w:val="0"/>
        <w:autoSpaceDN w:val="0"/>
        <w:adjustRightInd w:val="0"/>
        <w:jc w:val="both"/>
        <w:rPr>
          <w:rFonts w:ascii="ptSansRegular" w:hAnsi="ptSansRegular" w:cs="Arial"/>
          <w:color w:val="4D515F"/>
          <w:sz w:val="21"/>
          <w:szCs w:val="21"/>
        </w:rPr>
      </w:pPr>
      <w:r>
        <w:rPr>
          <w:rFonts w:eastAsiaTheme="minorHAnsi"/>
          <w:lang w:eastAsia="en-US"/>
        </w:rPr>
        <w:t>Приоритетной задачей</w:t>
      </w:r>
      <w:r>
        <w:rPr>
          <w:rFonts w:eastAsiaTheme="minorHAnsi"/>
          <w:color w:val="000000" w:themeColor="text1"/>
          <w:lang w:eastAsia="en-US"/>
        </w:rPr>
        <w:t xml:space="preserve"> Тюменской энергосбытовой компании является о</w:t>
      </w:r>
      <w:r>
        <w:rPr>
          <w:rFonts w:eastAsiaTheme="minorHAnsi"/>
          <w:lang w:eastAsia="en-US"/>
        </w:rPr>
        <w:t xml:space="preserve">беспечение прозрачности расчетов и начислений, принципов информационной открытости для клиентов и партнеров. </w:t>
      </w:r>
      <w:r>
        <w:rPr>
          <w:rFonts w:eastAsiaTheme="minorHAnsi"/>
          <w:color w:val="000000" w:themeColor="text1"/>
          <w:lang w:eastAsia="en-US"/>
        </w:rPr>
        <w:t xml:space="preserve">АО «ТЭК» ежемесячно </w:t>
      </w:r>
      <w:r w:rsidR="0016293F">
        <w:rPr>
          <w:rFonts w:eastAsiaTheme="minorHAnsi"/>
          <w:lang w:eastAsia="en-US"/>
        </w:rPr>
        <w:t>раскрывает информацию</w:t>
      </w:r>
      <w:r>
        <w:rPr>
          <w:rFonts w:eastAsiaTheme="minorHAnsi"/>
          <w:lang w:eastAsia="en-US"/>
        </w:rPr>
        <w:t xml:space="preserve"> на своем официальном интернет-сайте информацию о рассчитанных ценах, доступ к которой открыт для всех желающих.</w:t>
      </w:r>
    </w:p>
    <w:sectPr w:rsidR="001F7FE6" w:rsidRPr="004C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E6"/>
    <w:rsid w:val="00100BC7"/>
    <w:rsid w:val="0016293F"/>
    <w:rsid w:val="001848FC"/>
    <w:rsid w:val="001922B8"/>
    <w:rsid w:val="001F7FE6"/>
    <w:rsid w:val="003712EE"/>
    <w:rsid w:val="00395919"/>
    <w:rsid w:val="003C46A2"/>
    <w:rsid w:val="004C765A"/>
    <w:rsid w:val="00624383"/>
    <w:rsid w:val="008B631D"/>
    <w:rsid w:val="00926159"/>
    <w:rsid w:val="0095315A"/>
    <w:rsid w:val="0097276A"/>
    <w:rsid w:val="00997EE5"/>
    <w:rsid w:val="00A632E8"/>
    <w:rsid w:val="00BC7775"/>
    <w:rsid w:val="00C424C4"/>
    <w:rsid w:val="00CC7610"/>
    <w:rsid w:val="00E12EEB"/>
    <w:rsid w:val="00EE32ED"/>
    <w:rsid w:val="00F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E6"/>
    <w:pPr>
      <w:spacing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semiHidden/>
    <w:unhideWhenUsed/>
    <w:rsid w:val="003712EE"/>
    <w:pPr>
      <w:spacing w:before="100" w:beforeAutospacing="1" w:after="100" w:afterAutospacing="1"/>
    </w:p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character" w:styleId="af4">
    <w:name w:val="Hyperlink"/>
    <w:basedOn w:val="a0"/>
    <w:uiPriority w:val="99"/>
    <w:unhideWhenUsed/>
    <w:rsid w:val="001F7FE6"/>
    <w:rPr>
      <w:rFonts w:ascii="ptSansRegular" w:hAnsi="ptSansRegular" w:cs="Arial" w:hint="default"/>
      <w:color w:val="0000FF"/>
      <w:sz w:val="21"/>
      <w:szCs w:val="21"/>
      <w:u w:val="single"/>
    </w:rPr>
  </w:style>
  <w:style w:type="character" w:styleId="af5">
    <w:name w:val="FollowedHyperlink"/>
    <w:basedOn w:val="a0"/>
    <w:uiPriority w:val="99"/>
    <w:semiHidden/>
    <w:unhideWhenUsed/>
    <w:rsid w:val="001F7F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E6"/>
    <w:pPr>
      <w:spacing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12EE"/>
  </w:style>
  <w:style w:type="paragraph" w:customStyle="1" w:styleId="source">
    <w:name w:val="source"/>
    <w:basedOn w:val="a"/>
    <w:rsid w:val="003712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712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12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2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12E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2E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2EE"/>
    <w:rPr>
      <w:rFonts w:ascii="Times New Roman" w:eastAsiaTheme="minorEastAsia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2EE"/>
    <w:rPr>
      <w:rFonts w:ascii="Times New Roman" w:eastAsiaTheme="minorEastAsia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2E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2EE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712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12E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12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712EE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712EE"/>
    <w:rPr>
      <w:b/>
      <w:bCs/>
    </w:rPr>
  </w:style>
  <w:style w:type="character" w:styleId="a8">
    <w:name w:val="Emphasis"/>
    <w:basedOn w:val="a0"/>
    <w:uiPriority w:val="20"/>
    <w:qFormat/>
    <w:rsid w:val="003712EE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semiHidden/>
    <w:unhideWhenUsed/>
    <w:rsid w:val="003712EE"/>
    <w:pPr>
      <w:spacing w:before="100" w:beforeAutospacing="1" w:after="100" w:afterAutospacing="1"/>
    </w:pPr>
  </w:style>
  <w:style w:type="paragraph" w:styleId="aa">
    <w:name w:val="No Spacing"/>
    <w:basedOn w:val="a"/>
    <w:uiPriority w:val="1"/>
    <w:qFormat/>
    <w:rsid w:val="003712EE"/>
    <w:rPr>
      <w:szCs w:val="32"/>
    </w:rPr>
  </w:style>
  <w:style w:type="paragraph" w:styleId="ab">
    <w:name w:val="List Paragraph"/>
    <w:basedOn w:val="a"/>
    <w:uiPriority w:val="34"/>
    <w:qFormat/>
    <w:rsid w:val="003712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2EE"/>
    <w:rPr>
      <w:i/>
    </w:rPr>
  </w:style>
  <w:style w:type="character" w:customStyle="1" w:styleId="22">
    <w:name w:val="Цитата 2 Знак"/>
    <w:basedOn w:val="a0"/>
    <w:link w:val="21"/>
    <w:uiPriority w:val="29"/>
    <w:rsid w:val="003712EE"/>
    <w:rPr>
      <w:rFonts w:ascii="Times New Roman" w:eastAsiaTheme="minorEastAsia" w:hAnsi="Times New Roman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712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712EE"/>
    <w:rPr>
      <w:rFonts w:ascii="Times New Roman" w:eastAsiaTheme="minorEastAsia" w:hAnsi="Times New Roman" w:cs="Times New Roman"/>
      <w:b/>
      <w:i/>
      <w:sz w:val="24"/>
    </w:rPr>
  </w:style>
  <w:style w:type="character" w:styleId="ae">
    <w:name w:val="Subtle Emphasis"/>
    <w:uiPriority w:val="19"/>
    <w:qFormat/>
    <w:rsid w:val="003712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712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712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712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712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712EE"/>
    <w:pPr>
      <w:outlineLvl w:val="9"/>
    </w:pPr>
  </w:style>
  <w:style w:type="character" w:styleId="af4">
    <w:name w:val="Hyperlink"/>
    <w:basedOn w:val="a0"/>
    <w:uiPriority w:val="99"/>
    <w:unhideWhenUsed/>
    <w:rsid w:val="001F7FE6"/>
    <w:rPr>
      <w:rFonts w:ascii="ptSansRegular" w:hAnsi="ptSansRegular" w:cs="Arial" w:hint="default"/>
      <w:color w:val="0000FF"/>
      <w:sz w:val="21"/>
      <w:szCs w:val="21"/>
      <w:u w:val="single"/>
    </w:rPr>
  </w:style>
  <w:style w:type="character" w:styleId="af5">
    <w:name w:val="FollowedHyperlink"/>
    <w:basedOn w:val="a0"/>
    <w:uiPriority w:val="99"/>
    <w:semiHidden/>
    <w:unhideWhenUsed/>
    <w:rsid w:val="001F7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esk.ru/userfiles/file/raskryitie/REK%2095_2812201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mesk.ru/middlepri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tsenergo.ru/results/market/svnc" TargetMode="External"/><Relationship Id="rId11" Type="http://schemas.openxmlformats.org/officeDocument/2006/relationships/hyperlink" Target="http://lkk.energosales.ru/lkk_jur/" TargetMode="External"/><Relationship Id="rId5" Type="http://schemas.openxmlformats.org/officeDocument/2006/relationships/hyperlink" Target="http://tmesk.ru/predel" TargetMode="External"/><Relationship Id="rId10" Type="http://schemas.openxmlformats.org/officeDocument/2006/relationships/hyperlink" Target="http://tmesk.ru/pre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mesk.ru/userfiles/file/raskryitie/REK%2046%202212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612</Words>
  <Characters>4081</Characters>
  <Application>Microsoft Office Word</Application>
  <DocSecurity>0</DocSecurity>
  <Lines>52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Асия Раисовна</dc:creator>
  <cp:lastModifiedBy>Гареева Асия Раисовна</cp:lastModifiedBy>
  <cp:revision>3</cp:revision>
  <dcterms:created xsi:type="dcterms:W3CDTF">2017-04-06T07:54:00Z</dcterms:created>
  <dcterms:modified xsi:type="dcterms:W3CDTF">2017-04-07T04:36:00Z</dcterms:modified>
</cp:coreProperties>
</file>